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ParaSilencio Akustiknutpaneele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Mühlenburger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332139 Spenge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 xml:space="preserve">Kreuzverlattg., MW D 60 mm 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6D76" w:rsidRPr="00EC792F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>D 16 mm, auf Stb.-wand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Ausdämmen der Hohlräume der Prallwandunterkonstruktion mit Steinwollematten,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ParaSilencio Akustiknutpaneel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937BD1">
        <w:rPr>
          <w:rFonts w:ascii="Arial" w:hAnsi="Arial" w:cs="Arial"/>
          <w:b/>
          <w:sz w:val="20"/>
          <w:szCs w:val="20"/>
        </w:rPr>
        <w:t>2-14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Länge: 2780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128 mm überdeckend mit Nut- und Federverbindung                   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Stegbreite: 1</w:t>
      </w:r>
      <w:r w:rsidR="00937BD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Nutbreite: </w:t>
      </w:r>
      <w:r w:rsidR="00937BD1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Nuttiefe: 6 mm</w:t>
      </w:r>
    </w:p>
    <w:p w:rsidR="00A944E2" w:rsidRDefault="00A944E2">
      <w:pPr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Effektiver Schutz gegen Holzvergilbung.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37BD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937BD1">
    <w:pPr>
      <w:ind w:left="5388" w:firstLine="993"/>
    </w:pPr>
  </w:p>
  <w:p w:rsidR="00073139" w:rsidRDefault="00937BD1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Langtext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2A0FFD"/>
    <w:rsid w:val="007D28D7"/>
    <w:rsid w:val="00876D76"/>
    <w:rsid w:val="00937BD1"/>
    <w:rsid w:val="00A944E2"/>
    <w:rsid w:val="00E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2</cp:revision>
  <dcterms:created xsi:type="dcterms:W3CDTF">2020-02-20T09:04:00Z</dcterms:created>
  <dcterms:modified xsi:type="dcterms:W3CDTF">2020-02-20T09:04:00Z</dcterms:modified>
</cp:coreProperties>
</file>